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1A9" w:rsidRDefault="001054D6">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DF51A9" w:rsidRDefault="001054D6">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DF51A9" w:rsidRDefault="001054D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DF51A9" w:rsidRDefault="001054D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DF51A9" w:rsidRDefault="001054D6">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DF51A9" w:rsidRDefault="001054D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DF51A9" w:rsidRDefault="001054D6">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DF51A9" w:rsidRDefault="001054D6">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DF51A9" w:rsidRDefault="001054D6">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DF51A9" w:rsidRDefault="001054D6">
      <w:pPr>
        <w:rPr>
          <w:rFonts w:ascii="Arial" w:eastAsia="Arial" w:hAnsi="Arial"/>
          <w:sz w:val="24"/>
          <w:szCs w:val="24"/>
        </w:rPr>
      </w:pPr>
      <w:r>
        <w:rPr>
          <w:rFonts w:ascii="Arial" w:eastAsia="Arial" w:hAnsi="Arial"/>
          <w:sz w:val="24"/>
          <w:szCs w:val="24"/>
        </w:rPr>
        <w:t>Part E (dealing with staff transfer on exit) shall apply to every Contract.</w:t>
      </w:r>
    </w:p>
    <w:p w:rsidR="00DF51A9" w:rsidRDefault="001054D6">
      <w:pPr>
        <w:rPr>
          <w:rFonts w:ascii="Arial" w:eastAsia="Arial" w:hAnsi="Arial"/>
          <w:sz w:val="24"/>
          <w:szCs w:val="24"/>
        </w:rPr>
      </w:pPr>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DF51A9" w:rsidRDefault="00DF51A9">
      <w:pPr>
        <w:keepNext/>
        <w:pBdr>
          <w:top w:val="nil"/>
          <w:left w:val="nil"/>
          <w:bottom w:val="nil"/>
          <w:right w:val="nil"/>
          <w:between w:val="nil"/>
        </w:pBdr>
        <w:rPr>
          <w:rFonts w:ascii="Arial" w:eastAsia="Arial" w:hAnsi="Arial"/>
          <w:b/>
          <w:smallCaps/>
          <w:color w:val="000000"/>
          <w:sz w:val="24"/>
          <w:szCs w:val="24"/>
        </w:rPr>
      </w:pPr>
    </w:p>
    <w:p w:rsidR="00DF51A9" w:rsidRDefault="001054D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DF51A9">
        <w:tc>
          <w:tcPr>
            <w:tcW w:w="2917" w:type="dxa"/>
          </w:tcPr>
          <w:p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DF51A9" w:rsidRDefault="001054D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w:t>
            </w:r>
            <w:r>
              <w:rPr>
                <w:rFonts w:ascii="Arial" w:eastAsia="Arial" w:hAnsi="Arial"/>
                <w:sz w:val="24"/>
                <w:szCs w:val="24"/>
              </w:rPr>
              <w:t>gs or businesses, as amended or re-enacted from time to time;</w:t>
            </w:r>
          </w:p>
          <w:p w:rsidR="00DF51A9" w:rsidRDefault="00DF51A9">
            <w:pPr>
              <w:numPr>
                <w:ilvl w:val="0"/>
                <w:numId w:val="8"/>
              </w:numPr>
              <w:tabs>
                <w:tab w:val="left" w:pos="-179"/>
                <w:tab w:val="left" w:pos="-9"/>
              </w:tabs>
              <w:spacing w:after="120"/>
              <w:rPr>
                <w:rFonts w:ascii="Arial" w:eastAsia="Arial" w:hAnsi="Arial"/>
                <w:sz w:val="24"/>
                <w:szCs w:val="24"/>
              </w:rPr>
            </w:pPr>
          </w:p>
        </w:tc>
      </w:tr>
      <w:tr w:rsidR="00DF51A9">
        <w:tc>
          <w:tcPr>
            <w:tcW w:w="2917" w:type="dxa"/>
          </w:tcPr>
          <w:p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DF51A9" w:rsidRDefault="001054D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F51A9">
        <w:tc>
          <w:tcPr>
            <w:tcW w:w="2917" w:type="dxa"/>
          </w:tcPr>
          <w:p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F51A9">
        <w:tc>
          <w:tcPr>
            <w:tcW w:w="2917" w:type="dxa"/>
          </w:tcPr>
          <w:p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DF51A9">
        <w:trPr>
          <w:trHeight w:val="3560"/>
        </w:trPr>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DF51A9">
        <w:trPr>
          <w:trHeight w:val="1824"/>
        </w:trPr>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DF51A9">
        <w:tc>
          <w:tcPr>
            <w:tcW w:w="2917" w:type="dxa"/>
          </w:tcPr>
          <w:p w:rsidR="00DF51A9" w:rsidRDefault="001054D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DF51A9" w:rsidRDefault="001054D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DF51A9" w:rsidRDefault="001054D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p w:rsidR="00DF51A9" w:rsidRDefault="00DF51A9">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DF51A9" w:rsidRDefault="001054D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w:t>
      </w:r>
      <w:r>
        <w:rPr>
          <w:rFonts w:ascii="Arial Bold" w:eastAsia="Arial Bold" w:hAnsi="Arial Bold" w:cs="Arial Bold"/>
          <w:b/>
          <w:color w:val="000000"/>
          <w:sz w:val="24"/>
          <w:szCs w:val="24"/>
        </w:rPr>
        <w:t>pply</w:t>
      </w:r>
    </w:p>
    <w:p w:rsidR="00DF51A9" w:rsidRDefault="001054D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DF51A9" w:rsidRDefault="001054D6">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DF51A9" w:rsidRDefault="00DF51A9">
      <w:pPr>
        <w:ind w:left="357"/>
        <w:rPr>
          <w:rFonts w:ascii="Arial" w:eastAsia="Arial" w:hAnsi="Arial"/>
          <w:sz w:val="24"/>
          <w:szCs w:val="24"/>
        </w:rPr>
      </w:pPr>
    </w:p>
    <w:p w:rsidR="00DF51A9" w:rsidRDefault="001054D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DF51A9" w:rsidRDefault="001054D6">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DF51A9" w:rsidRDefault="001054D6">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DF51A9" w:rsidRDefault="001054D6">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DF51A9" w:rsidRDefault="001054D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DF51A9" w:rsidRDefault="001054D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F51A9" w:rsidRDefault="001054D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DF51A9" w:rsidRDefault="001054D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DF51A9" w:rsidRDefault="001054D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DF51A9" w:rsidRDefault="001054D6">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F51A9" w:rsidRDefault="001054D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DF51A9" w:rsidRDefault="001054D6">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F51A9" w:rsidRDefault="00DF51A9">
      <w:pPr>
        <w:pBdr>
          <w:top w:val="nil"/>
          <w:left w:val="nil"/>
          <w:bottom w:val="nil"/>
          <w:right w:val="nil"/>
          <w:between w:val="nil"/>
        </w:pBdr>
        <w:spacing w:before="120" w:after="120"/>
        <w:ind w:left="2214" w:hanging="1080"/>
        <w:rPr>
          <w:rFonts w:eastAsia="Calibri" w:cs="Calibri"/>
          <w:color w:val="000000"/>
        </w:rPr>
      </w:pP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DF51A9" w:rsidRDefault="001054D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F51A9" w:rsidRDefault="001054D6">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DF51A9" w:rsidRDefault="001054D6">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DF51A9" w:rsidRDefault="001054D6">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bility arises from the failure by the Supplier or any Subcontractor to comply with regulation 13(4) of the Employment Regulations.</w:t>
      </w:r>
    </w:p>
    <w:p w:rsidR="00DF51A9" w:rsidRDefault="00DF51A9">
      <w:pPr>
        <w:pBdr>
          <w:top w:val="nil"/>
          <w:left w:val="nil"/>
          <w:bottom w:val="nil"/>
          <w:right w:val="nil"/>
          <w:between w:val="nil"/>
        </w:pBdr>
        <w:spacing w:before="120" w:after="120"/>
        <w:ind w:left="2214" w:hanging="1080"/>
        <w:rPr>
          <w:rFonts w:eastAsia="Calibri" w:cs="Calibri"/>
          <w:color w:val="000000"/>
        </w:rPr>
      </w:pP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F51A9" w:rsidRDefault="001054D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F51A9" w:rsidRDefault="001054D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DF51A9" w:rsidRDefault="001054D6">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F51A9" w:rsidRDefault="001054D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DF51A9" w:rsidRDefault="00DF51A9">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DF51A9" w:rsidRDefault="001054D6">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F51A9" w:rsidRDefault="001054D6">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F51A9" w:rsidRDefault="00DF51A9">
      <w:pPr>
        <w:rPr>
          <w:rFonts w:ascii="Arial" w:eastAsia="Arial" w:hAnsi="Arial"/>
          <w:sz w:val="24"/>
          <w:szCs w:val="24"/>
        </w:rPr>
      </w:pPr>
    </w:p>
    <w:p w:rsidR="00DF51A9" w:rsidRDefault="00DF51A9">
      <w:pPr>
        <w:rPr>
          <w:rFonts w:ascii="Arial" w:eastAsia="Arial" w:hAnsi="Arial"/>
          <w:sz w:val="24"/>
          <w:szCs w:val="24"/>
        </w:rPr>
      </w:pPr>
    </w:p>
    <w:p w:rsidR="00DF51A9" w:rsidRDefault="001054D6">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DF51A9" w:rsidRDefault="001054D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DF51A9" w:rsidRDefault="00DF51A9">
      <w:pPr>
        <w:pBdr>
          <w:top w:val="nil"/>
          <w:left w:val="nil"/>
          <w:bottom w:val="nil"/>
          <w:right w:val="nil"/>
          <w:between w:val="nil"/>
        </w:pBdr>
        <w:spacing w:before="120" w:after="120"/>
        <w:ind w:left="1134" w:hanging="1080"/>
        <w:rPr>
          <w:rFonts w:ascii="Arial" w:eastAsia="Arial" w:hAnsi="Arial"/>
          <w:color w:val="000000"/>
          <w:sz w:val="24"/>
          <w:szCs w:val="24"/>
        </w:rPr>
      </w:pP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DF51A9" w:rsidRDefault="00DF51A9">
      <w:pPr>
        <w:keepNext/>
        <w:pBdr>
          <w:top w:val="nil"/>
          <w:left w:val="nil"/>
          <w:bottom w:val="nil"/>
          <w:right w:val="nil"/>
          <w:between w:val="nil"/>
        </w:pBdr>
        <w:tabs>
          <w:tab w:val="left" w:pos="993"/>
        </w:tabs>
        <w:spacing w:before="120" w:after="120"/>
        <w:ind w:left="720" w:hanging="720"/>
        <w:rPr>
          <w:rFonts w:eastAsia="Calibri" w:cs="Calibri"/>
          <w:color w:val="000000"/>
        </w:rPr>
      </w:pP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DF51A9" w:rsidRDefault="001054D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DF51A9" w:rsidRDefault="001054D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DF51A9" w:rsidRDefault="001054D6">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DF51A9" w:rsidRDefault="001054D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DF51A9" w:rsidRDefault="001054D6">
      <w:pPr>
        <w:rPr>
          <w:rFonts w:ascii="Arial" w:eastAsia="Arial" w:hAnsi="Arial"/>
        </w:rPr>
      </w:pPr>
      <w:r>
        <w:rPr>
          <w:rFonts w:ascii="Arial" w:eastAsia="Arial" w:hAnsi="Arial"/>
          <w:b/>
          <w:sz w:val="24"/>
          <w:szCs w:val="24"/>
          <w:highlight w:val="yellow"/>
        </w:rPr>
        <w:t xml:space="preserve">[Guidance: </w:t>
      </w:r>
      <w:r>
        <w:rPr>
          <w:rFonts w:ascii="Arial" w:eastAsia="Arial" w:hAnsi="Arial"/>
          <w:b/>
          <w:sz w:val="24"/>
          <w:szCs w:val="24"/>
          <w:highlight w:val="yellow"/>
        </w:rPr>
        <w:t xml:space="preserve">You should take specific legal advice on this Part D. Please also note that this Part D is drafted to reflect the requirements of New Fair Deal. Accordingly, where a contracting authority is a best value authority it will be subject to the requirements of </w:t>
      </w:r>
      <w:r>
        <w:rPr>
          <w:rFonts w:ascii="Arial" w:eastAsia="Arial" w:hAnsi="Arial"/>
          <w:b/>
          <w:sz w:val="24"/>
          <w:szCs w:val="24"/>
          <w:highlight w:val="yellow"/>
        </w:rPr>
        <w:t>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DF51A9" w:rsidRDefault="001054D6">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F51A9" w:rsidRDefault="001054D6">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DF51A9">
        <w:tc>
          <w:tcPr>
            <w:tcW w:w="3404" w:type="dxa"/>
            <w:shd w:val="clear" w:color="auto" w:fill="auto"/>
          </w:tcPr>
          <w:p w:rsidR="00DF51A9" w:rsidRDefault="001054D6">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DF51A9">
        <w:tc>
          <w:tcPr>
            <w:tcW w:w="3404" w:type="dxa"/>
            <w:shd w:val="clear" w:color="auto" w:fill="auto"/>
          </w:tcPr>
          <w:p w:rsidR="00DF51A9" w:rsidRDefault="001054D6">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DF51A9" w:rsidRDefault="001054D6">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F51A9">
        <w:tc>
          <w:tcPr>
            <w:tcW w:w="3404" w:type="dxa"/>
            <w:shd w:val="clear" w:color="auto" w:fill="auto"/>
          </w:tcPr>
          <w:p w:rsidR="00DF51A9" w:rsidRDefault="001054D6">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DF51A9" w:rsidRDefault="001054D6">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DF51A9" w:rsidRDefault="00DF51A9">
            <w:pPr>
              <w:tabs>
                <w:tab w:val="left" w:pos="235"/>
              </w:tabs>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DF51A9" w:rsidRDefault="001054D6">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DF51A9" w:rsidRDefault="001054D6">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DF51A9" w:rsidRDefault="00DF51A9">
            <w:pPr>
              <w:widowControl w:val="0"/>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DF51A9" w:rsidRDefault="001054D6">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DF51A9" w:rsidRDefault="00DF51A9">
            <w:pPr>
              <w:widowControl w:val="0"/>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any of:</w:t>
            </w:r>
          </w:p>
          <w:p w:rsidR="00DF51A9" w:rsidRDefault="001054D6">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DF51A9">
        <w:tc>
          <w:tcPr>
            <w:tcW w:w="3404" w:type="dxa"/>
            <w:shd w:val="clear" w:color="auto" w:fill="auto"/>
          </w:tcPr>
          <w:p w:rsidR="00DF51A9" w:rsidRDefault="00DF51A9">
            <w:pPr>
              <w:keepNext/>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DF51A9">
            <w:pPr>
              <w:widowControl w:val="0"/>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DF51A9" w:rsidRDefault="001054D6">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DF51A9">
            <w:pPr>
              <w:widowControl w:val="0"/>
              <w:numPr>
                <w:ilvl w:val="0"/>
                <w:numId w:val="14"/>
              </w:numPr>
              <w:tabs>
                <w:tab w:val="left" w:pos="695"/>
              </w:tabs>
              <w:spacing w:before="120" w:after="120"/>
              <w:ind w:left="743" w:hanging="709"/>
              <w:rPr>
                <w:rFonts w:ascii="Arial" w:eastAsia="Arial" w:hAnsi="Arial"/>
                <w:sz w:val="24"/>
                <w:szCs w:val="24"/>
              </w:rPr>
            </w:pP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DF51A9">
            <w:pPr>
              <w:widowControl w:val="0"/>
              <w:numPr>
                <w:ilvl w:val="0"/>
                <w:numId w:val="14"/>
              </w:numPr>
              <w:tabs>
                <w:tab w:val="left" w:pos="695"/>
              </w:tabs>
              <w:spacing w:before="120" w:after="120"/>
              <w:ind w:left="695" w:hanging="646"/>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DF51A9" w:rsidRDefault="001054D6">
            <w:pPr>
              <w:spacing w:before="120" w:after="120"/>
              <w:rPr>
                <w:rFonts w:ascii="Arial" w:eastAsia="Arial" w:hAnsi="Arial"/>
                <w:sz w:val="24"/>
                <w:szCs w:val="24"/>
              </w:rPr>
            </w:pPr>
            <w:r>
              <w:rPr>
                <w:rFonts w:ascii="Arial" w:eastAsia="Arial" w:hAnsi="Arial"/>
                <w:sz w:val="24"/>
                <w:szCs w:val="24"/>
              </w:rPr>
              <w:t>means the CSPS, NHSPS or LGPS.</w:t>
            </w:r>
          </w:p>
        </w:tc>
      </w:tr>
    </w:tbl>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rsidR="00DF51A9" w:rsidRDefault="001054D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DF51A9" w:rsidRDefault="001054D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lastRenderedPageBreak/>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DF51A9" w:rsidRDefault="00DF51A9">
      <w:pPr>
        <w:pBdr>
          <w:top w:val="nil"/>
          <w:left w:val="nil"/>
          <w:bottom w:val="nil"/>
          <w:right w:val="nil"/>
          <w:between w:val="nil"/>
        </w:pBdr>
        <w:spacing w:before="120" w:after="120"/>
        <w:ind w:left="2214" w:hanging="1080"/>
        <w:rPr>
          <w:rFonts w:eastAsia="Calibri" w:cs="Calibri"/>
          <w:color w:val="000000"/>
        </w:rPr>
      </w:pP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DF51A9" w:rsidRDefault="00DF51A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 xml:space="preserve">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DF51A9" w:rsidRDefault="00DF51A9">
      <w:pPr>
        <w:pBdr>
          <w:top w:val="nil"/>
          <w:left w:val="nil"/>
          <w:bottom w:val="nil"/>
          <w:right w:val="nil"/>
          <w:between w:val="nil"/>
        </w:pBdr>
        <w:tabs>
          <w:tab w:val="left" w:pos="993"/>
        </w:tabs>
        <w:spacing w:before="120" w:after="120"/>
        <w:ind w:left="720" w:hanging="720"/>
        <w:rPr>
          <w:rFonts w:eastAsia="Calibri" w:cs="Calibri"/>
          <w:color w:val="000000"/>
        </w:rPr>
      </w:pPr>
    </w:p>
    <w:p w:rsidR="00DF51A9" w:rsidRDefault="001054D6">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essary arrangements to effect, in respect of any Fair Deal Eligible Employee that remains eligible for New Fair 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DF51A9" w:rsidRDefault="001054D6">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DF51A9" w:rsidRDefault="001054D6">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w:t>
      </w:r>
      <w:r>
        <w:rPr>
          <w:rFonts w:ascii="Arial" w:eastAsia="Arial" w:hAnsi="Arial"/>
          <w:color w:val="000000"/>
          <w:sz w:val="24"/>
          <w:szCs w:val="24"/>
        </w:rPr>
        <w:t>er the relevant Contract all reasonable costs and expenses incurred by the Buyer as result of Paragraphs 12.1 above.</w:t>
      </w:r>
    </w:p>
    <w:p w:rsidR="00DF51A9" w:rsidRDefault="001054D6">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DF51A9" w:rsidRDefault="001054D6">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DF51A9" w:rsidRDefault="001054D6">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F51A9" w:rsidRDefault="001054D6">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DF51A9">
        <w:tc>
          <w:tcPr>
            <w:tcW w:w="2835" w:type="dxa"/>
          </w:tcPr>
          <w:p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w:t>
            </w:r>
            <w:r>
              <w:rPr>
                <w:rFonts w:ascii="Arial" w:eastAsia="Arial" w:hAnsi="Arial"/>
                <w:color w:val="000000"/>
                <w:sz w:val="24"/>
                <w:szCs w:val="24"/>
              </w:rPr>
              <w:t>ite immediately prior to the Relevant Transfer Date to be entered into for the CSPS in respect of the Services;</w:t>
            </w:r>
          </w:p>
        </w:tc>
      </w:tr>
      <w:tr w:rsidR="00DF51A9">
        <w:tc>
          <w:tcPr>
            <w:tcW w:w="2835" w:type="dxa"/>
          </w:tcPr>
          <w:p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DF51A9">
        <w:tc>
          <w:tcPr>
            <w:tcW w:w="2835" w:type="dxa"/>
          </w:tcPr>
          <w:p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w:t>
            </w:r>
            <w:r>
              <w:rPr>
                <w:rFonts w:ascii="Arial" w:eastAsia="Arial" w:hAnsi="Arial"/>
                <w:color w:val="000000"/>
                <w:sz w:val="24"/>
                <w:szCs w:val="24"/>
              </w:rPr>
              <w:t xml:space="preserve">otection in respect of the CSPS in accordance with the provisions of New Fair Deal; </w:t>
            </w:r>
          </w:p>
        </w:tc>
      </w:tr>
      <w:tr w:rsidR="00DF51A9">
        <w:tc>
          <w:tcPr>
            <w:tcW w:w="2835" w:type="dxa"/>
          </w:tcPr>
          <w:p w:rsidR="00DF51A9" w:rsidRDefault="001054D6">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DF51A9" w:rsidRDefault="001054D6">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DF51A9" w:rsidRDefault="001054D6">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DF51A9" w:rsidRDefault="001054D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DF51A9" w:rsidRDefault="001054D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DF51A9" w:rsidRDefault="00DF51A9">
      <w:pPr>
        <w:rPr>
          <w:rFonts w:ascii="Arial" w:eastAsia="Arial" w:hAnsi="Arial"/>
          <w:sz w:val="24"/>
          <w:szCs w:val="24"/>
        </w:rPr>
      </w:pPr>
    </w:p>
    <w:p w:rsidR="00DF51A9" w:rsidRDefault="001054D6">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DF51A9" w:rsidRDefault="001054D6">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F51A9" w:rsidRDefault="001054D6">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“NHS Broadly Comparable Empl</w:t>
            </w:r>
            <w:r>
              <w:rPr>
                <w:rFonts w:ascii="Arial" w:eastAsia="Arial" w:hAnsi="Arial"/>
                <w:b/>
                <w:sz w:val="24"/>
                <w:szCs w:val="24"/>
              </w:rPr>
              <w:t>oyees”</w:t>
            </w:r>
          </w:p>
        </w:tc>
        <w:tc>
          <w:tcPr>
            <w:tcW w:w="5629" w:type="dxa"/>
          </w:tcPr>
          <w:p w:rsidR="00DF51A9" w:rsidRDefault="001054D6">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DF51A9" w:rsidRDefault="001054D6">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DF51A9" w:rsidRDefault="001054D6">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DF51A9" w:rsidRDefault="001054D6">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 xml:space="preserve">Broadly </w:t>
            </w:r>
            <w:r>
              <w:rPr>
                <w:rFonts w:ascii="Arial" w:eastAsia="Arial" w:hAnsi="Arial"/>
                <w:sz w:val="24"/>
                <w:szCs w:val="24"/>
              </w:rPr>
              <w:t>Comparable to those provided under the NHSPS.</w:t>
            </w:r>
          </w:p>
        </w:tc>
      </w:tr>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olor w:val="000000"/>
                <w:sz w:val="24"/>
                <w:szCs w:val="24"/>
              </w:rPr>
              <w:t xml:space="preserve">o be or become a member of, the NHSPS as a result of either: </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F51A9">
        <w:tc>
          <w:tcPr>
            <w:tcW w:w="3397" w:type="dxa"/>
          </w:tcPr>
          <w:p w:rsidR="00DF51A9" w:rsidRDefault="00DF51A9">
            <w:pPr>
              <w:spacing w:before="120" w:after="120"/>
              <w:ind w:left="993"/>
              <w:rPr>
                <w:rFonts w:ascii="Arial" w:eastAsia="Arial" w:hAnsi="Arial"/>
                <w:b/>
                <w:sz w:val="24"/>
                <w:szCs w:val="24"/>
              </w:rPr>
            </w:pPr>
          </w:p>
        </w:tc>
        <w:tc>
          <w:tcPr>
            <w:tcW w:w="5629" w:type="dxa"/>
          </w:tcPr>
          <w:p w:rsidR="00DF51A9" w:rsidRDefault="00DF51A9">
            <w:pPr>
              <w:tabs>
                <w:tab w:val="left" w:pos="235"/>
              </w:tabs>
              <w:spacing w:before="120" w:after="120"/>
              <w:rPr>
                <w:rFonts w:ascii="Arial" w:eastAsia="Arial" w:hAnsi="Arial"/>
                <w:color w:val="000000"/>
                <w:sz w:val="24"/>
                <w:szCs w:val="24"/>
              </w:rPr>
            </w:pP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DF51A9">
        <w:tc>
          <w:tcPr>
            <w:tcW w:w="3397" w:type="dxa"/>
          </w:tcPr>
          <w:p w:rsidR="00DF51A9" w:rsidRDefault="00DF51A9">
            <w:pPr>
              <w:spacing w:before="120" w:after="120"/>
              <w:ind w:left="993"/>
              <w:rPr>
                <w:rFonts w:ascii="Arial" w:eastAsia="Arial" w:hAnsi="Arial"/>
                <w:b/>
                <w:sz w:val="24"/>
                <w:szCs w:val="24"/>
              </w:rPr>
            </w:pPr>
          </w:p>
        </w:tc>
        <w:tc>
          <w:tcPr>
            <w:tcW w:w="5629" w:type="dxa"/>
          </w:tcPr>
          <w:p w:rsidR="00DF51A9" w:rsidRDefault="00DF51A9">
            <w:pPr>
              <w:tabs>
                <w:tab w:val="left" w:pos="235"/>
              </w:tabs>
              <w:spacing w:before="120" w:after="120"/>
              <w:rPr>
                <w:rFonts w:ascii="Arial" w:eastAsia="Arial" w:hAnsi="Arial"/>
                <w:sz w:val="24"/>
                <w:szCs w:val="24"/>
              </w:rPr>
            </w:pPr>
          </w:p>
        </w:tc>
      </w:tr>
    </w:tbl>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lastRenderedPageBreak/>
        <w:t>Membership of the NHS Pension Scheme</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DF51A9" w:rsidRDefault="001054D6">
      <w:pPr>
        <w:pStyle w:val="Heading4"/>
        <w:numPr>
          <w:ilvl w:val="3"/>
          <w:numId w:val="18"/>
        </w:numPr>
        <w:rPr>
          <w:rFonts w:ascii="Arial" w:eastAsia="Arial" w:hAnsi="Arial"/>
          <w:sz w:val="24"/>
          <w:szCs w:val="24"/>
        </w:rPr>
      </w:pPr>
      <w:r>
        <w:rPr>
          <w:rFonts w:ascii="Arial" w:eastAsia="Arial" w:hAnsi="Arial"/>
          <w:sz w:val="24"/>
          <w:szCs w:val="24"/>
        </w:rPr>
        <w:t>all employ</w:t>
      </w:r>
      <w:r>
        <w:rPr>
          <w:rFonts w:ascii="Arial" w:eastAsia="Arial" w:hAnsi="Arial"/>
          <w:sz w:val="24"/>
          <w:szCs w:val="24"/>
        </w:rPr>
        <w:t>er's and NHSPS Fair Deal Employees' contributions intended to go to the NHSPS are kept in a separate bank account; and</w:t>
      </w:r>
    </w:p>
    <w:p w:rsidR="00DF51A9" w:rsidRDefault="001054D6">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w:t>
      </w:r>
      <w:r>
        <w:rPr>
          <w:rFonts w:ascii="Arial" w:eastAsia="Arial" w:hAnsi="Arial"/>
          <w:color w:val="000000"/>
          <w:sz w:val="24"/>
          <w:szCs w:val="24"/>
        </w:rPr>
        <w:t>y required by NHS Pensions in relation to a Direction Letter/Determination.</w:t>
      </w: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DF51A9" w:rsidRDefault="00DF51A9">
      <w:pPr>
        <w:ind w:left="357"/>
        <w:rPr>
          <w:rFonts w:ascii="Arial" w:eastAsia="Arial" w:hAnsi="Arial"/>
          <w:sz w:val="24"/>
          <w:szCs w:val="24"/>
        </w:rPr>
      </w:pP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Pr>
          <w:rFonts w:ascii="Arial" w:eastAsia="Arial" w:hAnsi="Arial"/>
          <w:color w:val="000000"/>
          <w:sz w:val="24"/>
          <w:szCs w:val="24"/>
        </w:rPr>
        <w:t xml:space="preserve"> the NHSPS Eligible Employees ceased to participate in the NHSPS in accordance with the provisions of paragraph 11 of Part D. Subcontractor.</w:t>
      </w: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DF51A9" w:rsidRDefault="001054D6">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rsidR="00DF51A9" w:rsidRDefault="001054D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rsidR="00DF51A9" w:rsidRDefault="001054D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rsidR="00DF51A9" w:rsidRDefault="001054D6">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w:t>
      </w:r>
      <w:r>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Pr>
          <w:rFonts w:ascii="Arial" w:eastAsia="Arial" w:hAnsi="Arial"/>
          <w:sz w:val="24"/>
          <w:szCs w:val="24"/>
        </w:rPr>
        <w:t xml:space="preserv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w:t>
      </w:r>
      <w:r>
        <w:rPr>
          <w:rFonts w:ascii="Arial" w:eastAsia="Arial" w:hAnsi="Arial"/>
          <w:color w:val="000000"/>
          <w:sz w:val="24"/>
          <w:szCs w:val="24"/>
        </w:rPr>
        <w:t>inate the Contract.</w:t>
      </w:r>
    </w:p>
    <w:p w:rsidR="00DF51A9" w:rsidRDefault="001054D6">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DF51A9" w:rsidRDefault="001054D6">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DF51A9" w:rsidRDefault="001054D6">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DF51A9" w:rsidRDefault="001054D6">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DF51A9" w:rsidRDefault="001054D6">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DF51A9" w:rsidRDefault="001054D6">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rsidR="00DF51A9" w:rsidRDefault="001054D6">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w:t>
      </w:r>
      <w:r>
        <w:rPr>
          <w:rFonts w:ascii="Arial" w:eastAsia="Arial" w:hAnsi="Arial"/>
          <w:sz w:val="24"/>
          <w:szCs w:val="24"/>
        </w:rPr>
        <w:t xml:space="preserve"> the definition of "Fund" accordingly.</w:t>
      </w:r>
    </w:p>
    <w:p w:rsidR="00DF51A9" w:rsidRDefault="001054D6">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DF51A9" w:rsidRDefault="001054D6">
      <w:pPr>
        <w:rPr>
          <w:rFonts w:ascii="Arial" w:eastAsia="Arial" w:hAnsi="Arial"/>
          <w:sz w:val="24"/>
          <w:szCs w:val="24"/>
        </w:rPr>
      </w:pPr>
      <w:r>
        <w:rPr>
          <w:rFonts w:ascii="Arial" w:eastAsia="Arial" w:hAnsi="Arial"/>
          <w:sz w:val="24"/>
          <w:szCs w:val="24"/>
        </w:rPr>
        <w:t xml:space="preserve">Unlike New Fair Deal the 2007 Best Value pension direction does not provide a right to </w:t>
      </w:r>
      <w:r>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Pr>
          <w:rFonts w:ascii="Arial" w:eastAsia="Arial" w:hAnsi="Arial"/>
          <w:sz w:val="24"/>
          <w:szCs w:val="24"/>
        </w:rPr>
        <w:t>ts which can result from a requirement to provide bulk transfers.]</w:t>
      </w:r>
    </w:p>
    <w:p w:rsidR="00DF51A9" w:rsidRDefault="001054D6">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DF51A9">
        <w:trPr>
          <w:trHeight w:val="653"/>
        </w:trPr>
        <w:tc>
          <w:tcPr>
            <w:tcW w:w="2635" w:type="dxa"/>
            <w:shd w:val="clear" w:color="auto" w:fill="auto"/>
          </w:tcPr>
          <w:p w:rsidR="00DF51A9" w:rsidRDefault="001054D6">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DF51A9">
        <w:trPr>
          <w:trHeight w:val="653"/>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DF51A9">
        <w:trPr>
          <w:trHeight w:val="653"/>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the actuary to a Fund appointed by the Administering Buyer of that Fund;</w:t>
            </w:r>
          </w:p>
        </w:tc>
      </w:tr>
      <w:tr w:rsidR="00DF51A9">
        <w:trPr>
          <w:trHeight w:val="337"/>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DF51A9" w:rsidRDefault="001054D6">
            <w:pPr>
              <w:rPr>
                <w:rFonts w:ascii="Arial" w:eastAsia="Arial" w:hAnsi="Arial"/>
                <w:b/>
                <w:sz w:val="24"/>
                <w:szCs w:val="24"/>
              </w:rPr>
            </w:pPr>
            <w:r>
              <w:rPr>
                <w:rFonts w:ascii="Arial" w:eastAsia="Arial" w:hAnsi="Arial"/>
                <w:b/>
                <w:sz w:val="24"/>
                <w:szCs w:val="24"/>
                <w:highlight w:val="yellow"/>
              </w:rPr>
              <w:t>[insert name], a pension fund within the LGPS;</w:t>
            </w:r>
          </w:p>
        </w:tc>
      </w:tr>
      <w:tr w:rsidR="00DF51A9">
        <w:trPr>
          <w:trHeight w:val="337"/>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DF51A9" w:rsidRDefault="001054D6">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DF51A9">
        <w:trPr>
          <w:trHeight w:val="1269"/>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the Loc</w:t>
            </w:r>
            <w:r>
              <w:rPr>
                <w:rFonts w:ascii="Arial" w:eastAsia="Arial" w:hAnsi="Arial"/>
                <w:sz w:val="24"/>
                <w:szCs w:val="24"/>
              </w:rPr>
              <w:t>al Government Pension Scheme as governed by the LGPS Regulations, and any other regulations (in each case as amended from time to time) which are from time  to time applicable to the Local Government Pension Scheme;</w:t>
            </w:r>
          </w:p>
        </w:tc>
      </w:tr>
      <w:tr w:rsidR="00DF51A9">
        <w:trPr>
          <w:trHeight w:val="99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DF51A9">
        <w:trPr>
          <w:trHeight w:val="90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F51A9">
        <w:trPr>
          <w:trHeight w:val="90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DF51A9">
        <w:trPr>
          <w:trHeight w:val="90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DF51A9">
        <w:trPr>
          <w:trHeight w:val="1665"/>
        </w:trPr>
        <w:tc>
          <w:tcPr>
            <w:tcW w:w="2635" w:type="dxa"/>
            <w:shd w:val="clear" w:color="auto" w:fill="auto"/>
          </w:tcPr>
          <w:p w:rsidR="00DF51A9" w:rsidRDefault="001054D6">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DF51A9" w:rsidRDefault="001054D6">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rsidR="00DF51A9" w:rsidRDefault="00DF51A9">
      <w:pPr>
        <w:pStyle w:val="Heading2"/>
        <w:rPr>
          <w:rFonts w:ascii="Arial" w:eastAsia="Arial" w:hAnsi="Arial"/>
          <w:sz w:val="24"/>
          <w:szCs w:val="24"/>
        </w:rPr>
      </w:pP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DF51A9" w:rsidRDefault="001054D6">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DF51A9" w:rsidRDefault="001054D6">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DF51A9" w:rsidRDefault="001054D6">
      <w:pPr>
        <w:numPr>
          <w:ilvl w:val="1"/>
          <w:numId w:val="1"/>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Pr>
          <w:rFonts w:ascii="Arial" w:eastAsia="Arial" w:hAnsi="Arial"/>
          <w:sz w:val="24"/>
          <w:szCs w:val="24"/>
        </w:rPr>
        <w:t xml:space="preserve"> Relevant Transfer Date if they wish to do so. ]</w:t>
      </w:r>
    </w:p>
    <w:p w:rsidR="00DF51A9" w:rsidRDefault="001054D6">
      <w:pPr>
        <w:tabs>
          <w:tab w:val="left" w:pos="720"/>
        </w:tabs>
        <w:ind w:left="708"/>
        <w:rPr>
          <w:rFonts w:ascii="Arial" w:eastAsia="Arial" w:hAnsi="Arial"/>
          <w:b/>
          <w:sz w:val="24"/>
          <w:szCs w:val="24"/>
        </w:rPr>
      </w:pPr>
      <w:r>
        <w:rPr>
          <w:rFonts w:ascii="Arial" w:eastAsia="Arial" w:hAnsi="Arial"/>
          <w:b/>
          <w:sz w:val="24"/>
          <w:szCs w:val="24"/>
        </w:rPr>
        <w:t>OPTION 2</w:t>
      </w:r>
    </w:p>
    <w:p w:rsidR="00DF51A9" w:rsidRDefault="001054D6">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DF51A9" w:rsidRDefault="001054D6">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w:t>
      </w:r>
      <w:r>
        <w:rPr>
          <w:rFonts w:ascii="Arial" w:eastAsia="Arial" w:hAnsi="Arial"/>
          <w:sz w:val="24"/>
          <w:szCs w:val="24"/>
        </w:rPr>
        <w:t xml:space="preserve">Comparable pension scheme) but not active members of the LGPS (or a Broadly Comparable pension scheme) immediately before the Relevant Transfer Date </w:t>
      </w:r>
    </w:p>
    <w:p w:rsidR="00DF51A9" w:rsidRDefault="001054D6">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w:t>
      </w:r>
      <w:r>
        <w:rPr>
          <w:rFonts w:ascii="Arial" w:eastAsia="Arial" w:hAnsi="Arial"/>
          <w:sz w:val="24"/>
          <w:szCs w:val="24"/>
        </w:rPr>
        <w:t xml:space="preserve">utomatically enrol or re-enrol for the purposes of the Pensions Act 2008 any LGPS Fair Deal Employees in any pension scheme other than the LGPS unless they cease to be eligible for membership of the LGPS.] </w:t>
      </w:r>
    </w:p>
    <w:p w:rsidR="00DF51A9" w:rsidRDefault="001054D6">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lastRenderedPageBreak/>
        <w:t>Broadly Comparable Scheme</w:t>
      </w:r>
    </w:p>
    <w:p w:rsidR="00DF51A9" w:rsidRDefault="001054D6">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w:t>
      </w:r>
      <w:r>
        <w:rPr>
          <w:rFonts w:ascii="Arial" w:eastAsia="Arial" w:hAnsi="Arial"/>
          <w:sz w:val="24"/>
          <w:szCs w:val="24"/>
        </w:rPr>
        <w:t>er and/or any of its Subcontractors is unable to obtain an LGPS Admission Agreement in accordance with paragraph 2.1 because the Administering Buyer will not allow it to participate in the Fund,  the Supplier shall (and procure that its Subcontractors shal</w:t>
      </w:r>
      <w:r>
        <w:rPr>
          <w:rFonts w:ascii="Arial" w:eastAsia="Arial" w:hAnsi="Arial"/>
          <w:sz w:val="24"/>
          <w:szCs w:val="24"/>
        </w:rPr>
        <w:t xml:space="preserve">l), with effect from the Relevant Transfer Date, offer the LGPS Fair Deal Employees membership of a pension scheme which is Broadly Comparable to LGPS on the Relevant Transfer Date in accordance with the provisions of paragraph 10 of Part D. </w:t>
      </w:r>
    </w:p>
    <w:p w:rsidR="00DF51A9" w:rsidRDefault="001054D6">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w:t>
      </w:r>
      <w:r>
        <w:rPr>
          <w:rFonts w:ascii="Arial" w:eastAsia="Arial" w:hAnsi="Arial"/>
          <w:sz w:val="24"/>
          <w:szCs w:val="24"/>
        </w:rPr>
        <w:t>pplier and/or any of its Subcontractors becomes an LGPS Admission Body in accordance with paragraph 2.1 but the LGPS Admission Agreement is terminated during the term of the relevant Contract for any reason at a time when the Supplier or Subcontractors sti</w:t>
      </w:r>
      <w:r>
        <w:rPr>
          <w:rFonts w:ascii="Arial" w:eastAsia="Arial" w:hAnsi="Arial"/>
          <w:sz w:val="24"/>
          <w:szCs w:val="24"/>
        </w:rPr>
        <w:t xml:space="preserve">ll employs any LGPS Eligible Employees, the Supplier shall (and procure that its Subcontractors shall) at no extra cost to the Buyer, offer the remaining LGPS Eligible Employees membership of a pension scheme which is Broadly Comparable to the LGPS on the </w:t>
      </w:r>
      <w:r>
        <w:rPr>
          <w:rFonts w:ascii="Arial" w:eastAsia="Arial" w:hAnsi="Arial"/>
          <w:sz w:val="24"/>
          <w:szCs w:val="24"/>
        </w:rPr>
        <w:t>date the LGPS Eligible Employees ceased to participate in the LGPS in accordance with the provisions of paragraph 11 of Part D.</w:t>
      </w: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rsidR="00DF51A9" w:rsidRDefault="001054D6">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w:t>
      </w:r>
      <w:r>
        <w:rPr>
          <w:rFonts w:ascii="Arial" w:eastAsia="Arial" w:hAnsi="Arial"/>
          <w:sz w:val="24"/>
          <w:szCs w:val="24"/>
        </w:rPr>
        <w:t>ocure that its Subcontractors shall) comply with its obligations under regulation 60 of the 2013 Regulations in relation to the preparation of a discretionary policy statement.</w:t>
      </w:r>
    </w:p>
    <w:p w:rsidR="00DF51A9" w:rsidRDefault="001054D6">
      <w:pPr>
        <w:rPr>
          <w:rFonts w:ascii="Arial" w:eastAsia="Arial" w:hAnsi="Arial"/>
          <w:sz w:val="24"/>
          <w:szCs w:val="24"/>
        </w:rPr>
      </w:pPr>
      <w:r>
        <w:rPr>
          <w:rFonts w:ascii="Arial" w:eastAsia="Arial" w:hAnsi="Arial"/>
          <w:sz w:val="24"/>
          <w:szCs w:val="24"/>
        </w:rPr>
        <w:t xml:space="preserve"> </w:t>
      </w: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DF51A9"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DF51A9"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DF51A9" w:rsidRDefault="001054D6">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DF51A9" w:rsidRDefault="001054D6">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w:t>
      </w:r>
      <w:r>
        <w:rPr>
          <w:rFonts w:ascii="Arial" w:eastAsia="Arial" w:hAnsi="Arial"/>
          <w:color w:val="000000"/>
          <w:sz w:val="24"/>
          <w:szCs w:val="24"/>
        </w:rPr>
        <w:t xml:space="preserve"> without limitation any decision made under Regulation 30(8) of the 2013 Regulations or Schedule 2 of The Local Government Pension Scheme (Transitional Provisions, Savings and Amendment) Regulations 2014;</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w:t>
      </w:r>
      <w:r>
        <w:rPr>
          <w:rFonts w:ascii="Arial" w:eastAsia="Arial" w:hAnsi="Arial"/>
          <w:color w:val="000000"/>
          <w:sz w:val="24"/>
          <w:szCs w:val="24"/>
        </w:rPr>
        <w:t xml:space="preserve"> enhanced benefits made at the discretion of the Supplier or any relevant Subcontractors including without limitation additional pension awarded under Regulation 31 of the 2013 Regulations or otherwise;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w:t>
      </w:r>
      <w:r>
        <w:rPr>
          <w:rFonts w:ascii="Arial" w:eastAsia="Arial" w:hAnsi="Arial"/>
          <w:color w:val="000000"/>
          <w:sz w:val="24"/>
          <w:szCs w:val="24"/>
        </w:rPr>
        <w:t xml:space="preserve">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w:t>
      </w:r>
      <w:r>
        <w:rPr>
          <w:rFonts w:ascii="Arial" w:eastAsia="Arial" w:hAnsi="Arial"/>
          <w:color w:val="000000"/>
          <w:sz w:val="24"/>
          <w:szCs w:val="24"/>
        </w:rPr>
        <w:t>ontractor is contractually bound to provide such increases on the Relevant Transfer Date);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w:t>
      </w:r>
      <w:r>
        <w:rPr>
          <w:rFonts w:ascii="Arial" w:eastAsia="Arial" w:hAnsi="Arial"/>
          <w:color w:val="000000"/>
          <w:sz w:val="24"/>
          <w:szCs w:val="24"/>
        </w:rPr>
        <w:t xml:space="preserve">ations by the Supplier or any relevant Subcontractors where a member does not have an absolute entitlement to that benefit under the LGPS; </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w:t>
      </w:r>
      <w:r>
        <w:rPr>
          <w:rFonts w:ascii="Arial" w:eastAsia="Arial" w:hAnsi="Arial"/>
          <w:color w:val="000000"/>
          <w:sz w:val="24"/>
          <w:szCs w:val="24"/>
        </w:rPr>
        <w:t xml:space="preserve">ibution rate, including without limitation an amount specified in a notice given by the Administering Buyer under Regulation 70 of the 2013 Regulations; </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w:t>
      </w:r>
      <w:r>
        <w:rPr>
          <w:rFonts w:ascii="Arial" w:eastAsia="Arial" w:hAnsi="Arial"/>
          <w:color w:val="000000"/>
          <w:sz w:val="24"/>
          <w:szCs w:val="24"/>
        </w:rPr>
        <w:t xml:space="preserve"> or a Subcontractor from the Fund Actuary; and/or</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w:t>
      </w:r>
      <w:r>
        <w:rPr>
          <w:rFonts w:ascii="Arial" w:eastAsia="Arial" w:hAnsi="Arial"/>
          <w:color w:val="000000"/>
          <w:sz w:val="24"/>
          <w:szCs w:val="24"/>
        </w:rPr>
        <w:t>de a copy of any revised rates and adjustments certificate detailing the Exit Payment or Exit Credit and its calculation.</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notify the Supplier </w:t>
      </w:r>
      <w:r>
        <w:rPr>
          <w:rFonts w:ascii="Arial" w:eastAsia="Arial" w:hAnsi="Arial"/>
          <w:color w:val="000000"/>
          <w:sz w:val="24"/>
          <w:szCs w:val="24"/>
        </w:rPr>
        <w:t>in writing of its acceptance of the Excess Amount, Refund Amount or Exit Payment;</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w:t>
      </w:r>
      <w:r>
        <w:rPr>
          <w:rFonts w:ascii="Arial" w:eastAsia="Arial" w:hAnsi="Arial"/>
          <w:color w:val="000000"/>
          <w:sz w:val="24"/>
          <w:szCs w:val="24"/>
        </w:rPr>
        <w:t>rify the information or evidence provided.</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w:t>
      </w:r>
      <w:r>
        <w:rPr>
          <w:rFonts w:ascii="Arial" w:eastAsia="Arial" w:hAnsi="Arial"/>
          <w:color w:val="000000"/>
          <w:sz w:val="24"/>
          <w:szCs w:val="24"/>
        </w:rPr>
        <w:t xml:space="preserve">upplier in writing.  In the event that the Supplier and the Buyer are unable to agree the amount of the Excess Amount, Refund Amount or Exit Payment then they shall follow the Dispute Resolution Procedure. </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w:t>
      </w:r>
      <w:r>
        <w:rPr>
          <w:rFonts w:ascii="Arial" w:eastAsia="Arial" w:hAnsi="Arial"/>
          <w:color w:val="000000"/>
          <w:sz w:val="24"/>
          <w:szCs w:val="24"/>
        </w:rPr>
        <w:t>uyer or in accordance with the Dispute Resolution Procedure shall be paid by the Buyer within timescales as agreed between Buyer and Supplier. The amount to be paid by the Buyer shall be an amount equal to the Excess Amount or Exit Payment less an amount e</w:t>
      </w:r>
      <w:r>
        <w:rPr>
          <w:rFonts w:ascii="Arial" w:eastAsia="Arial" w:hAnsi="Arial"/>
          <w:color w:val="000000"/>
          <w:sz w:val="24"/>
          <w:szCs w:val="24"/>
        </w:rPr>
        <w:t xml:space="preserve">qual to any corporation tax relief which has been claimed in respect of the Excess Amount or Exit Payment by the Supplier or a Subcontractor. </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w:t>
      </w:r>
      <w:r>
        <w:rPr>
          <w:rFonts w:ascii="Arial" w:eastAsia="Arial" w:hAnsi="Arial"/>
          <w:color w:val="000000"/>
          <w:sz w:val="24"/>
          <w:szCs w:val="24"/>
        </w:rPr>
        <w:t>pplier or any Subcontractor to the Buyer, shall be paid by the Supplier or any Subcontractor forthwith as the liability has been agreed. In the event the Supplier or any Subcontractor fails to pay any agreed Refund Amount, the Buyer shall demand in writing</w:t>
      </w:r>
      <w:r>
        <w:rPr>
          <w:rFonts w:ascii="Arial" w:eastAsia="Arial" w:hAnsi="Arial"/>
          <w:color w:val="000000"/>
          <w:sz w:val="24"/>
          <w:szCs w:val="24"/>
        </w:rPr>
        <w:t xml:space="preserve"> the immediate payment of the agreed Refund Amount by the Supplier and the Supplier shall make payment within seven (7) Working Days of such demand.</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DF51A9" w:rsidRDefault="00DF51A9">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DF51A9" w:rsidRDefault="001054D6">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rsidR="00DF51A9" w:rsidRDefault="001054D6">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DF51A9" w:rsidRDefault="001054D6">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DF51A9" w:rsidRDefault="001054D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agrees that within 20 Working Days of the earliest of:</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a notification from the Buyer of a Service Transfer or intended Service Transfer;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DF51A9" w:rsidRDefault="001054D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w:t>
      </w:r>
      <w:r>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Pr>
          <w:rFonts w:ascii="Arial" w:eastAsia="Arial" w:hAnsi="Arial"/>
          <w:color w:val="000000"/>
          <w:sz w:val="24"/>
          <w:szCs w:val="24"/>
        </w:rPr>
        <w:t xml:space="preserve"> as are reasonably requested by the Buyer.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DF51A9" w:rsidRDefault="001054D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DF51A9" w:rsidRDefault="001054D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34g0dwd"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DF51A9" w:rsidRDefault="00DF51A9">
      <w:pPr>
        <w:pBdr>
          <w:top w:val="nil"/>
          <w:left w:val="nil"/>
          <w:bottom w:val="nil"/>
          <w:right w:val="nil"/>
          <w:between w:val="nil"/>
        </w:pBdr>
        <w:spacing w:before="120" w:after="120"/>
        <w:ind w:left="1134" w:hanging="1080"/>
        <w:rPr>
          <w:rFonts w:eastAsia="Calibri" w:cs="Calibri"/>
          <w:color w:val="000000"/>
        </w:rPr>
      </w:pP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F51A9" w:rsidRDefault="001054D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The indemnity in Paragraph 2.8: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DF51A9" w:rsidRDefault="001054D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DF51A9" w:rsidRDefault="001054D6">
      <w:pPr>
        <w:pStyle w:val="Heading4"/>
        <w:numPr>
          <w:ilvl w:val="3"/>
          <w:numId w:val="3"/>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rsidR="00DF51A9" w:rsidRDefault="001054D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DF51A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4D6" w:rsidRDefault="001054D6">
      <w:pPr>
        <w:spacing w:after="0"/>
      </w:pPr>
      <w:r>
        <w:separator/>
      </w:r>
    </w:p>
  </w:endnote>
  <w:endnote w:type="continuationSeparator" w:id="0">
    <w:p w:rsidR="001054D6" w:rsidRDefault="00105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7A" w:rsidRDefault="00DD4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DF51A9">
    <w:pPr>
      <w:tabs>
        <w:tab w:val="center" w:pos="4513"/>
        <w:tab w:val="right" w:pos="9026"/>
      </w:tabs>
      <w:spacing w:after="0"/>
      <w:rPr>
        <w:rFonts w:ascii="Arial" w:eastAsia="Arial" w:hAnsi="Arial"/>
        <w:color w:val="A6A6A6"/>
        <w:sz w:val="20"/>
        <w:szCs w:val="20"/>
      </w:rPr>
    </w:pPr>
  </w:p>
  <w:p w:rsidR="00DF51A9" w:rsidRDefault="00DD407A">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bookmarkStart w:id="78" w:name="_GoBack"/>
    <w:bookmarkEnd w:id="78"/>
  </w:p>
  <w:p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D407A">
      <w:rPr>
        <w:rFonts w:ascii="Arial" w:eastAsia="Arial" w:hAnsi="Arial"/>
        <w:color w:val="000000"/>
        <w:sz w:val="20"/>
        <w:szCs w:val="20"/>
      </w:rPr>
      <w:fldChar w:fldCharType="separate"/>
    </w:r>
    <w:r w:rsidR="00DD407A">
      <w:rPr>
        <w:rFonts w:ascii="Arial" w:eastAsia="Arial" w:hAnsi="Arial"/>
        <w:noProof/>
        <w:color w:val="000000"/>
        <w:sz w:val="20"/>
        <w:szCs w:val="20"/>
      </w:rPr>
      <w:t>1</w:t>
    </w:r>
    <w:r>
      <w:rPr>
        <w:rFonts w:ascii="Arial" w:eastAsia="Arial" w:hAnsi="Arial"/>
        <w:color w:val="000000"/>
        <w:sz w:val="20"/>
        <w:szCs w:val="20"/>
      </w:rPr>
      <w:fldChar w:fldCharType="end"/>
    </w:r>
  </w:p>
  <w:p w:rsidR="00DF51A9" w:rsidRDefault="001054D6">
    <w:pPr>
      <w:spacing w:after="0"/>
      <w:rPr>
        <w:rFonts w:ascii="Arial" w:eastAsia="Arial" w:hAnsi="Arial"/>
        <w:color w:val="A6A6A6"/>
        <w:sz w:val="20"/>
        <w:szCs w:val="20"/>
      </w:rPr>
    </w:pPr>
    <w:r>
      <w:rPr>
        <w:rFonts w:ascii="Arial" w:eastAsia="Arial" w:hAnsi="Arial"/>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DF51A9">
    <w:pPr>
      <w:tabs>
        <w:tab w:val="center" w:pos="4513"/>
        <w:tab w:val="right" w:pos="9026"/>
      </w:tabs>
      <w:spacing w:after="0"/>
      <w:rPr>
        <w:rFonts w:ascii="Arial" w:eastAsia="Arial" w:hAnsi="Arial"/>
        <w:color w:val="A6A6A6"/>
        <w:sz w:val="20"/>
        <w:szCs w:val="20"/>
      </w:rPr>
    </w:pPr>
  </w:p>
  <w:p w:rsidR="00DF51A9" w:rsidRDefault="001054D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F51A9" w:rsidRDefault="001054D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4D6" w:rsidRDefault="001054D6">
      <w:pPr>
        <w:spacing w:after="0"/>
      </w:pPr>
      <w:r>
        <w:separator/>
      </w:r>
    </w:p>
  </w:footnote>
  <w:footnote w:type="continuationSeparator" w:id="0">
    <w:p w:rsidR="001054D6" w:rsidRDefault="001054D6">
      <w:pPr>
        <w:spacing w:after="0"/>
      </w:pPr>
      <w:r>
        <w:continuationSeparator/>
      </w:r>
    </w:p>
  </w:footnote>
  <w:footnote w:id="1">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7A" w:rsidRDefault="00DD4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1054D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DF51A9" w:rsidRDefault="001054D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759"/>
    <w:multiLevelType w:val="multilevel"/>
    <w:tmpl w:val="1F44E29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430D9F"/>
    <w:multiLevelType w:val="multilevel"/>
    <w:tmpl w:val="75C6B98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203B2755"/>
    <w:multiLevelType w:val="multilevel"/>
    <w:tmpl w:val="5F90708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25C07402"/>
    <w:multiLevelType w:val="multilevel"/>
    <w:tmpl w:val="8086F7B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3492796C"/>
    <w:multiLevelType w:val="multilevel"/>
    <w:tmpl w:val="CE90F576"/>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57E4E88"/>
    <w:multiLevelType w:val="multilevel"/>
    <w:tmpl w:val="D9E0299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1B1049"/>
    <w:multiLevelType w:val="multilevel"/>
    <w:tmpl w:val="D2827DB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7" w15:restartNumberingAfterBreak="0">
    <w:nsid w:val="41CA214D"/>
    <w:multiLevelType w:val="multilevel"/>
    <w:tmpl w:val="587611E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423D6F31"/>
    <w:multiLevelType w:val="multilevel"/>
    <w:tmpl w:val="E79293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68A31F2"/>
    <w:multiLevelType w:val="multilevel"/>
    <w:tmpl w:val="B35097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6D9F28B9"/>
    <w:multiLevelType w:val="multilevel"/>
    <w:tmpl w:val="FFDE870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72BC5D08"/>
    <w:multiLevelType w:val="multilevel"/>
    <w:tmpl w:val="6CEC0A8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2" w15:restartNumberingAfterBreak="0">
    <w:nsid w:val="732344E9"/>
    <w:multiLevelType w:val="multilevel"/>
    <w:tmpl w:val="CE481DE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73CA5C87"/>
    <w:multiLevelType w:val="multilevel"/>
    <w:tmpl w:val="E2A0B48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AD6391"/>
    <w:multiLevelType w:val="multilevel"/>
    <w:tmpl w:val="0B9E09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9894A10"/>
    <w:multiLevelType w:val="multilevel"/>
    <w:tmpl w:val="33386FF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A363AFF"/>
    <w:multiLevelType w:val="multilevel"/>
    <w:tmpl w:val="F1E0C8A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B2511AC"/>
    <w:multiLevelType w:val="multilevel"/>
    <w:tmpl w:val="5FA49D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FDF5AB3"/>
    <w:multiLevelType w:val="multilevel"/>
    <w:tmpl w:val="8C7018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2"/>
  </w:num>
  <w:num w:numId="3">
    <w:abstractNumId w:val="12"/>
  </w:num>
  <w:num w:numId="4">
    <w:abstractNumId w:val="3"/>
  </w:num>
  <w:num w:numId="5">
    <w:abstractNumId w:val="16"/>
  </w:num>
  <w:num w:numId="6">
    <w:abstractNumId w:val="6"/>
  </w:num>
  <w:num w:numId="7">
    <w:abstractNumId w:val="9"/>
  </w:num>
  <w:num w:numId="8">
    <w:abstractNumId w:val="13"/>
  </w:num>
  <w:num w:numId="9">
    <w:abstractNumId w:val="15"/>
  </w:num>
  <w:num w:numId="10">
    <w:abstractNumId w:val="10"/>
  </w:num>
  <w:num w:numId="11">
    <w:abstractNumId w:val="1"/>
  </w:num>
  <w:num w:numId="12">
    <w:abstractNumId w:val="17"/>
  </w:num>
  <w:num w:numId="13">
    <w:abstractNumId w:val="14"/>
  </w:num>
  <w:num w:numId="14">
    <w:abstractNumId w:val="4"/>
  </w:num>
  <w:num w:numId="15">
    <w:abstractNumId w:val="5"/>
  </w:num>
  <w:num w:numId="16">
    <w:abstractNumId w:val="11"/>
  </w:num>
  <w:num w:numId="17">
    <w:abstractNumId w:val="8"/>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1A9"/>
    <w:rsid w:val="001054D6"/>
    <w:rsid w:val="00DD407A"/>
    <w:rsid w:val="00DF5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3C6FE23"/>
  <w15:docId w15:val="{722EE5A8-CB97-482C-BEB9-E9F81933A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19103</Words>
  <Characters>108889</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2021-12-21T14:26:00Z</dcterms:created>
  <dcterms:modified xsi:type="dcterms:W3CDTF">2021-12-21T14:26:00Z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